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86507">
      <w:pPr>
        <w:pStyle w:val="a3"/>
        <w:jc w:val="right"/>
      </w:pPr>
      <w:bookmarkStart w:id="0" w:name="_GoBack"/>
      <w:bookmarkEnd w:id="0"/>
      <w:r>
        <w:t>(Неофіційний текст)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vAlign w:val="center"/>
            <w:hideMark/>
          </w:tcPr>
          <w:p w:rsidR="00000000" w:rsidRDefault="00C8650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C86507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C86507">
      <w:pPr>
        <w:pStyle w:val="a3"/>
        <w:jc w:val="right"/>
      </w:pPr>
      <w:r>
        <w:br w:type="textWrapping" w:clear="all"/>
      </w:r>
    </w:p>
    <w:p w:rsidR="00000000" w:rsidRDefault="00C86507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C86507">
      <w:pPr>
        <w:pStyle w:val="a3"/>
        <w:jc w:val="center"/>
      </w:pPr>
      <w:r>
        <w:t xml:space="preserve">Продовження </w:t>
      </w:r>
      <w:r>
        <w:rPr>
          <w:color w:val="0000FF"/>
        </w:rPr>
        <w:t>Класифікатора професій ДК 003:2010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vAlign w:val="center"/>
            <w:hideMark/>
          </w:tcPr>
          <w:p w:rsidR="00000000" w:rsidRDefault="00C86507">
            <w:pPr>
              <w:pStyle w:val="a3"/>
            </w:pPr>
            <w:r>
              <w:t>ДОДАТОК В </w:t>
            </w:r>
            <w:r>
              <w:br/>
              <w:t>(обов'язковий)  </w:t>
            </w:r>
          </w:p>
        </w:tc>
      </w:tr>
    </w:tbl>
    <w:p w:rsidR="00000000" w:rsidRDefault="00C86507">
      <w:pPr>
        <w:pStyle w:val="a3"/>
        <w:jc w:val="center"/>
      </w:pPr>
      <w:r>
        <w:br w:type="textWrapping" w:clear="all"/>
      </w:r>
    </w:p>
    <w:p w:rsidR="00000000" w:rsidRDefault="00C86507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ПОХІДНІ СЛОВА ДО ПРОФЕСІЙ (ПРОФЕСІЙНИХ НАЗВ РОБІТ) 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7"/>
        <w:gridCol w:w="5286"/>
      </w:tblGrid>
      <w:tr w:rsidR="0000000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Бригадний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Помічник </w:t>
            </w:r>
          </w:p>
        </w:tc>
      </w:tr>
      <w:tr w:rsidR="0000000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Віце-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Провідний </w:t>
            </w:r>
          </w:p>
        </w:tc>
      </w:tr>
      <w:tr w:rsidR="0000000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Гірничий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П'ятий </w:t>
            </w:r>
          </w:p>
        </w:tc>
      </w:tr>
      <w:tr w:rsidR="0000000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Головний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Районний </w:t>
            </w:r>
          </w:p>
        </w:tc>
      </w:tr>
      <w:tr w:rsidR="0000000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Груповий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Стажист*** </w:t>
            </w:r>
          </w:p>
        </w:tc>
      </w:tr>
      <w:tr w:rsidR="0000000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Дільничний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Старший </w:t>
            </w:r>
          </w:p>
        </w:tc>
      </w:tr>
      <w:tr w:rsidR="0000000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Другий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Третій </w:t>
            </w:r>
          </w:p>
        </w:tc>
      </w:tr>
      <w:tr w:rsidR="0000000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Заступник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Учень**** </w:t>
            </w:r>
          </w:p>
        </w:tc>
      </w:tr>
      <w:tr w:rsidR="0000000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Змінний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Черговий </w:t>
            </w:r>
          </w:p>
        </w:tc>
      </w:tr>
      <w:tr w:rsidR="0000000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Молодший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Четвертий </w:t>
            </w:r>
          </w:p>
        </w:tc>
      </w:tr>
      <w:tr w:rsidR="0000000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Перший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6507">
            <w:pPr>
              <w:pStyle w:val="a3"/>
            </w:pPr>
            <w:r>
              <w:t> </w:t>
            </w:r>
          </w:p>
        </w:tc>
      </w:tr>
    </w:tbl>
    <w:p w:rsidR="00000000" w:rsidRDefault="00C86507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87"/>
        <w:gridCol w:w="8052"/>
      </w:tblGrid>
      <w:tr w:rsidR="00000000">
        <w:trPr>
          <w:tblCellSpacing w:w="22" w:type="dxa"/>
        </w:trPr>
        <w:tc>
          <w:tcPr>
            <w:tcW w:w="800" w:type="pct"/>
            <w:vAlign w:val="center"/>
            <w:hideMark/>
          </w:tcPr>
          <w:p w:rsidR="00000000" w:rsidRDefault="00C86507">
            <w:pPr>
              <w:pStyle w:val="a3"/>
            </w:pPr>
            <w:r>
              <w:rPr>
                <w:b/>
                <w:bCs/>
              </w:rPr>
              <w:t>Примітка 1.</w:t>
            </w:r>
            <w:r>
              <w:t xml:space="preserve">  </w:t>
            </w:r>
          </w:p>
        </w:tc>
        <w:tc>
          <w:tcPr>
            <w:tcW w:w="4200" w:type="pct"/>
            <w:vAlign w:val="center"/>
            <w:hideMark/>
          </w:tcPr>
          <w:p w:rsidR="00000000" w:rsidRDefault="00C86507">
            <w:pPr>
              <w:pStyle w:val="a3"/>
              <w:jc w:val="both"/>
            </w:pPr>
            <w:r>
              <w:t xml:space="preserve">Похідні слова до професій (професійних назв робіт) можуть застосовуватися за умови збереження галузевої та функціональної належності, кваліфікаційних вимог, виключення дублювання, збереження коду новоутвореної професії. </w:t>
            </w:r>
            <w:r>
              <w:br/>
              <w:t>Наприклад, від назви професії "Соці</w:t>
            </w:r>
            <w:r>
              <w:t>олог" код КП 2442.2 можна утворювати похідну назву професії "Провідний соціолог" з кодом КП 2442.2, тоді як похідне слово "Головний" не може застосовуватися, враховуючи те, що в КП є чинна професійна назва роботи "Головний соціолог" з кодом КП 1221.1. </w:t>
            </w:r>
          </w:p>
        </w:tc>
      </w:tr>
      <w:tr w:rsidR="00000000">
        <w:trPr>
          <w:tblCellSpacing w:w="22" w:type="dxa"/>
        </w:trPr>
        <w:tc>
          <w:tcPr>
            <w:tcW w:w="800" w:type="pct"/>
            <w:vAlign w:val="center"/>
            <w:hideMark/>
          </w:tcPr>
          <w:p w:rsidR="00000000" w:rsidRDefault="00C86507">
            <w:pPr>
              <w:pStyle w:val="a3"/>
            </w:pPr>
            <w:r>
              <w:rPr>
                <w:b/>
                <w:bCs/>
              </w:rPr>
              <w:t>Пр</w:t>
            </w:r>
            <w:r>
              <w:rPr>
                <w:b/>
                <w:bCs/>
              </w:rPr>
              <w:t xml:space="preserve">имітка 2. </w:t>
            </w:r>
            <w:r>
              <w:t> </w:t>
            </w:r>
          </w:p>
        </w:tc>
        <w:tc>
          <w:tcPr>
            <w:tcW w:w="4200" w:type="pct"/>
            <w:vAlign w:val="center"/>
            <w:hideMark/>
          </w:tcPr>
          <w:p w:rsidR="00000000" w:rsidRDefault="00C86507">
            <w:pPr>
              <w:pStyle w:val="a3"/>
              <w:jc w:val="both"/>
            </w:pPr>
            <w:r>
              <w:t>Назви професій можуть бути розширені за потребою користувача термінами та словами, які уточнюють місце роботи, виконувані роботи, сферу діяльності за умови дотримання лаконічності викладення, якщо інше не передбачено у КП чи відповідних законод</w:t>
            </w:r>
            <w:r>
              <w:t>авчо-правових актах. </w:t>
            </w:r>
          </w:p>
        </w:tc>
      </w:tr>
    </w:tbl>
    <w:p w:rsidR="00000000" w:rsidRDefault="00C86507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C86507">
      <w:pPr>
        <w:pStyle w:val="a3"/>
        <w:jc w:val="both"/>
        <w:rPr>
          <w:sz w:val="20"/>
          <w:szCs w:val="20"/>
        </w:rPr>
      </w:pPr>
      <w:r>
        <w:rPr>
          <w:b/>
          <w:bCs/>
        </w:rPr>
        <w:lastRenderedPageBreak/>
        <w:t>____________</w:t>
      </w:r>
      <w:r>
        <w:br/>
        <w:t>*</w:t>
      </w:r>
      <w:r>
        <w:rPr>
          <w:b/>
          <w:bCs/>
        </w:rPr>
        <w:t xml:space="preserve"> </w:t>
      </w:r>
      <w:r>
        <w:rPr>
          <w:sz w:val="20"/>
          <w:szCs w:val="20"/>
        </w:rPr>
        <w:t xml:space="preserve">Номер випуску доповнень та змін до Довідника кваліфікаційних характеристик професій працівників. </w:t>
      </w:r>
    </w:p>
    <w:p w:rsidR="00000000" w:rsidRDefault="00C86507">
      <w:pPr>
        <w:pStyle w:val="a3"/>
        <w:jc w:val="both"/>
        <w:rPr>
          <w:sz w:val="20"/>
          <w:szCs w:val="20"/>
        </w:rPr>
      </w:pPr>
      <w:r>
        <w:t xml:space="preserve">** </w:t>
      </w:r>
      <w:r>
        <w:rPr>
          <w:sz w:val="20"/>
          <w:szCs w:val="20"/>
        </w:rPr>
        <w:t>Деталізовані кваліфікаційні характеристики за галузевими ознаками містяться в інших галузевих випусках Довідника кв</w:t>
      </w:r>
      <w:r>
        <w:rPr>
          <w:sz w:val="20"/>
          <w:szCs w:val="20"/>
        </w:rPr>
        <w:t xml:space="preserve">аліфікаційних характеристик професій працівників. </w:t>
      </w:r>
    </w:p>
    <w:p w:rsidR="00000000" w:rsidRDefault="00C86507">
      <w:pPr>
        <w:pStyle w:val="a3"/>
        <w:jc w:val="both"/>
        <w:rPr>
          <w:sz w:val="20"/>
          <w:szCs w:val="20"/>
        </w:rPr>
      </w:pPr>
      <w:r>
        <w:t xml:space="preserve">*** </w:t>
      </w:r>
      <w:r>
        <w:rPr>
          <w:sz w:val="20"/>
          <w:szCs w:val="20"/>
        </w:rPr>
        <w:t xml:space="preserve">Це похідне слово застосовується до професійних назв робіт розділів "Професіонали" та "Фахівці" на час проходження стажування зі збереженням коду базової професійної назви роботи. </w:t>
      </w:r>
    </w:p>
    <w:p w:rsidR="00000000" w:rsidRDefault="00C86507">
      <w:pPr>
        <w:pStyle w:val="a3"/>
        <w:jc w:val="both"/>
        <w:rPr>
          <w:sz w:val="20"/>
          <w:szCs w:val="20"/>
        </w:rPr>
      </w:pPr>
      <w:r>
        <w:t xml:space="preserve">**** </w:t>
      </w:r>
      <w:r>
        <w:rPr>
          <w:sz w:val="20"/>
          <w:szCs w:val="20"/>
        </w:rPr>
        <w:t>Це похідне слово</w:t>
      </w:r>
      <w:r>
        <w:rPr>
          <w:sz w:val="20"/>
          <w:szCs w:val="20"/>
        </w:rPr>
        <w:t xml:space="preserve"> застосовується до професійних назв робіт робітників середньої кваліфікації на час проходження первинної професійної підготовки особами, яких прийнято на роботу. </w:t>
      </w:r>
    </w:p>
    <w:p w:rsidR="00000000" w:rsidRDefault="00C86507">
      <w:pPr>
        <w:pStyle w:val="a3"/>
        <w:jc w:val="center"/>
      </w:pPr>
      <w:r>
        <w:rPr>
          <w:b/>
          <w:bCs/>
        </w:rPr>
        <w:t xml:space="preserve">____________ </w:t>
      </w:r>
    </w:p>
    <w:p w:rsidR="00000000" w:rsidRDefault="00C86507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4"/>
        <w:gridCol w:w="118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C8650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C86507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6507" w:rsidRDefault="00C86507">
      <w:pPr>
        <w:rPr>
          <w:rFonts w:eastAsia="Times New Roman"/>
        </w:rPr>
      </w:pPr>
    </w:p>
    <w:sectPr w:rsidR="00C865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A2B"/>
    <w:rsid w:val="00940A2B"/>
    <w:rsid w:val="00C8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K.Pilin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2020-11-25T09:41:00Z</dcterms:created>
  <dcterms:modified xsi:type="dcterms:W3CDTF">2020-11-25T09:41:00Z</dcterms:modified>
</cp:coreProperties>
</file>